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EB" w:rsidRPr="004C16EB" w:rsidRDefault="004C16EB" w:rsidP="004C16EB">
      <w:pPr>
        <w:spacing w:after="0" w:line="240" w:lineRule="auto"/>
        <w:rPr>
          <w:rFonts w:ascii="Times New Roman" w:eastAsia="Times New Roman" w:hAnsi="Times New Roman" w:cs="Times New Roman"/>
          <w:sz w:val="24"/>
          <w:szCs w:val="24"/>
          <w:lang w:eastAsia="tr-TR"/>
        </w:rPr>
      </w:pPr>
      <w:r w:rsidRPr="004C16EB">
        <w:rPr>
          <w:rFonts w:ascii="Arial" w:eastAsia="Times New Roman" w:hAnsi="Arial" w:cs="Arial"/>
          <w:color w:val="1C283D"/>
          <w:sz w:val="15"/>
          <w:szCs w:val="15"/>
          <w:shd w:val="clear" w:color="auto" w:fill="FFFFFF"/>
          <w:lang w:eastAsia="tr-TR"/>
        </w:rPr>
        <w:t>Resmî Gazete Tarihi: 08.06.2017 Resmî Gazete Sayısı: 30090</w:t>
      </w:r>
      <w:r w:rsidRPr="004C16EB">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tblPr>
      <w:tblGrid>
        <w:gridCol w:w="11590"/>
      </w:tblGrid>
      <w:tr w:rsidR="004C16EB" w:rsidRPr="004C16EB" w:rsidTr="004C16EB">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tblPr>
            <w:tblGrid>
              <w:gridCol w:w="11374"/>
            </w:tblGrid>
            <w:tr w:rsidR="004C16EB" w:rsidRPr="004C16EB">
              <w:trPr>
                <w:trHeight w:val="480"/>
                <w:jc w:val="center"/>
              </w:trPr>
              <w:tc>
                <w:tcPr>
                  <w:tcW w:w="11374" w:type="dxa"/>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MİLLÎ EĞİTİM BAKANLIĞI EĞİTİM KURUMLARI SOSYAL</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ETKİNLİKLER YÖNETMELİĞİ</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 </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BİRİNCİ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Amaç, Kapsam, Dayanak ve 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Amaç</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 – </w:t>
                  </w:r>
                  <w:r w:rsidRPr="004C16EB">
                    <w:rPr>
                      <w:rFonts w:ascii="Calibri" w:eastAsia="Times New Roman" w:hAnsi="Calibri" w:cs="Times New Roman"/>
                      <w:lang w:eastAsia="tr-TR"/>
                    </w:rPr>
                    <w:t>(1) Bu Yönetmeliğin amacı;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w:t>
                  </w:r>
                  <w:r w:rsidRPr="004C16EB">
                    <w:rPr>
                      <w:rFonts w:ascii="Calibri" w:eastAsia="Times New Roman" w:hAnsi="Calibri" w:cs="Times New Roman"/>
                      <w:b/>
                      <w:bCs/>
                      <w:lang w:eastAsia="tr-TR"/>
                    </w:rPr>
                    <w:t>(Ek ibare:RG-12/9/2019-30886)</w:t>
                  </w:r>
                  <w:r w:rsidRPr="004C16EB">
                    <w:rPr>
                      <w:rFonts w:ascii="Calibri" w:eastAsia="Times New Roman" w:hAnsi="Calibri" w:cs="Times New Roman"/>
                      <w:b/>
                      <w:bCs/>
                      <w:color w:val="000000"/>
                      <w:sz w:val="18"/>
                      <w:szCs w:val="18"/>
                      <w:lang w:eastAsia="tr-TR"/>
                    </w:rPr>
                    <w:t>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sosyal etkinliklerin usul ve esaslarını düzenlemektir.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Kapsam</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 –</w:t>
                  </w:r>
                  <w:r w:rsidRPr="004C16EB">
                    <w:rPr>
                      <w:rFonts w:ascii="Calibri" w:eastAsia="Times New Roman" w:hAnsi="Calibri" w:cs="Times New Roman"/>
                      <w:lang w:eastAsia="tr-TR"/>
                    </w:rPr>
                    <w:t> (1) Bu Yönetmelik;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bilimsel, sosyal, kültürel, sanatsal, sportif alanlarda öğrenci kulübü ve toplum hizmeti kapsamındaki sosyal </w:t>
                  </w:r>
                  <w:r w:rsidRPr="004C16EB">
                    <w:rPr>
                      <w:rFonts w:ascii="Calibri" w:eastAsia="Times New Roman" w:hAnsi="Calibri" w:cs="Times New Roman"/>
                      <w:b/>
                      <w:bCs/>
                      <w:lang w:eastAsia="tr-TR"/>
                    </w:rPr>
                    <w:t>(Ek ibare:RG-12/9/2019-30886)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etkinliklere ait usul ve esasları kapsar.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Dayanak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3 –</w:t>
                  </w:r>
                  <w:r w:rsidRPr="004C16EB">
                    <w:rPr>
                      <w:rFonts w:ascii="Calibri" w:eastAsia="Times New Roman" w:hAnsi="Calibri" w:cs="Times New Roman"/>
                      <w:lang w:eastAsia="tr-TR"/>
                    </w:rPr>
                    <w:t>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(1) Bu Yönetmelik, 14/6/1973 tarihli ve 1739 sayılı Millî Eğitim Temel Kanunu ile 10/7/2018 tarihli ve 30474 sayılı Resmî Gazete’de yayımlanan 1 sayılı Cumhurbaşkanlığı Teşkilatı Hakkında Cumhurbaşkanlığı Kararnamesine dayanılarak hazırlanmıştır.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4 –</w:t>
                  </w:r>
                  <w:r w:rsidRPr="004C16EB">
                    <w:rPr>
                      <w:rFonts w:ascii="Calibri" w:eastAsia="Times New Roman" w:hAnsi="Calibri" w:cs="Times New Roman"/>
                      <w:lang w:eastAsia="tr-TR"/>
                    </w:rPr>
                    <w:t> (1) Bu Yönetmelikte geçen;</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Bakanlık: Millî Eğitim Bakanlığını,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Danışman öğretmen: Sosyal etkinliklerde rehberlik, danışmanlık ve gözetim görevini yürütmekle görevlendirilen öğretmeni veya öğretmenleri,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kurumu: Her tür ve seviyedeki resmî ve özel örgün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ve hayat boyu öğrenme</w:t>
                  </w:r>
                  <w:r w:rsidRPr="004C16EB">
                    <w:rPr>
                      <w:rFonts w:ascii="Calibri" w:eastAsia="Times New Roman" w:hAnsi="Calibri" w:cs="Times New Roman"/>
                      <w:b/>
                      <w:bCs/>
                      <w:lang w:eastAsia="tr-TR"/>
                    </w:rPr>
                    <w:t> (Mülga ibare:RG-1/9/2018-30522)</w:t>
                  </w:r>
                  <w:r w:rsidRPr="004C16EB">
                    <w:rPr>
                      <w:rFonts w:ascii="Calibri" w:eastAsia="Times New Roman" w:hAnsi="Calibri" w:cs="Times New Roman"/>
                      <w:lang w:eastAsia="tr-TR"/>
                    </w:rPr>
                    <w:t> (...) okul ve kurumu,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Eğitim kurumu müdürü: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kurumu müdürünü,</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Gönüllü: Tamamıyla kendi isteği doğrultusunda, dayanışma ve yardımlaşma amacıyla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çıkar</w:t>
                  </w:r>
                  <w:r w:rsidRPr="004C16EB">
                    <w:rPr>
                      <w:rFonts w:ascii="Calibri" w:eastAsia="Times New Roman" w:hAnsi="Calibri" w:cs="Times New Roman"/>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4C16EB">
                    <w:rPr>
                      <w:rFonts w:ascii="Calibri" w:eastAsia="Times New Roman" w:hAnsi="Calibri" w:cs="Times New Roman"/>
                      <w:b/>
                      <w:bCs/>
                      <w:lang w:eastAsia="tr-TR"/>
                    </w:rPr>
                    <w:t>(Mülga ibare:RG-1/9/2018-30522)</w:t>
                  </w:r>
                  <w:r w:rsidRPr="004C16EB">
                    <w:rPr>
                      <w:rFonts w:ascii="Calibri" w:eastAsia="Times New Roman" w:hAnsi="Calibri" w:cs="Times New Roman"/>
                      <w:lang w:eastAsia="tr-TR"/>
                    </w:rPr>
                    <w:t> (...) üniversite, kurum ve kuruluşları,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Kulüp temsilcisi: Öğrenci kulübü çalışmalarını danışman öğretmen ile birlikte yürütmek üzere üye öğrencilerin aralarından seçtiği öğrenciyi,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Öğrenci kulübü: Öğrencilerin öğrenimleri boyunca bilimsel, sosyal, kültürel, sanatsal ve sportif alanlarda eğitim kurumu içi ve dışı etkinliklerde bulunmalarını sağlamak amacıyla oluşturulan grubu,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Sosyal etkinlik: Öğretim programlarının yanında bilimsel, sosyal, kültürel, sanatsal ve sportif alanlarda öğrenci kulübü ve toplum hizmeti çalışmaları ile bu kapsamdaki diğer etkinlikleri,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4C16EB">
                    <w:rPr>
                      <w:rFonts w:ascii="Calibri" w:eastAsia="Times New Roman" w:hAnsi="Calibri" w:cs="Times New Roman"/>
                      <w:lang w:eastAsia="tr-TR"/>
                    </w:rPr>
                    <w:t>modülü</w:t>
                  </w:r>
                  <w:proofErr w:type="gramEnd"/>
                  <w:r w:rsidRPr="004C16EB">
                    <w:rPr>
                      <w:rFonts w:ascii="Calibri" w:eastAsia="Times New Roman" w:hAnsi="Calibri" w:cs="Times New Roman"/>
                      <w:lang w:eastAsia="tr-TR"/>
                    </w:rPr>
                    <w:t>,</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h) Sosyal etkinlik dosyası: Öğrencinin katılmış olduğu sosyal etkinliklere ait bilgi ve belgelerin tutulduğu dosya,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ı) Sosyal etkinlikler kurulu: Sosyal etkinlikleri planlamak ve yürütülmesini koordine etmek amacıyla oluşturulan kurulu,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j)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Öğrencilerin ilgi, yetenek ve becerilerinin gelişimsel olarak izlenmesi, değerlendirilmesi ve yönlendirilmesi amacıyla okul içi ve okul dışındaki çalışmalar ile eğitim içerikli diğer faaliyetlere ilişkin </w:t>
                  </w:r>
                  <w:r w:rsidRPr="004C16EB">
                    <w:rPr>
                      <w:rFonts w:ascii="Calibri" w:eastAsia="Times New Roman" w:hAnsi="Calibri" w:cs="Times New Roman"/>
                      <w:lang w:eastAsia="tr-TR"/>
                    </w:rPr>
                    <w:lastRenderedPageBreak/>
                    <w:t>belgelerin işlendiği elektronik ortamda tutulan dosyayı,</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ifade</w:t>
                  </w:r>
                  <w:proofErr w:type="gramEnd"/>
                  <w:r w:rsidRPr="004C16EB">
                    <w:rPr>
                      <w:rFonts w:ascii="Calibri" w:eastAsia="Times New Roman" w:hAnsi="Calibri" w:cs="Times New Roman"/>
                      <w:lang w:eastAsia="tr-TR"/>
                    </w:rPr>
                    <w:t xml:space="preserve"> eder.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İKİNCİ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İlkeler, 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İlkeler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5 – </w:t>
                  </w:r>
                  <w:r w:rsidRPr="004C16EB">
                    <w:rPr>
                      <w:rFonts w:ascii="Calibri" w:eastAsia="Times New Roman" w:hAnsi="Calibri" w:cs="Times New Roman"/>
                      <w:lang w:eastAsia="tr-TR"/>
                    </w:rPr>
                    <w:t>(1) Eğitim kurumlarında yürütülecek tüm sosyal etkinlikler 1739 sayılı Kanunda yer alan Türk millî eğitiminin genel ve özel amaçları ile temel ilkelerine uygun olarak düzenlenir.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Sosyal etkinlik çalışmalarında; öğrencilerin gelişim seviyeleri, ilgi, istek, ihtiyaç ve yetenekleri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Sosyal etkinlik çalışmaları, öncelikle ders saatleri dışında uygulanır. Bu çalışmalar zorunlu hâllerde ders saatleri içinde de uygulanabilir.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 çalışmaları, öğrenci kulübü ve toplum hizmeti çalışmaları kapsamında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Her öğrenci, en az bir sanat veya spor dalında beceri kazanacak şekilde uygun bir öğrenci kulübü ile ilişkilendirilir ve bu kulübün çalışmalarına katılır.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etkinlikler kapsamında yürütülen bilimsel, sosyal, kültürel, sanatsal ve sportif alanlarda Gençlik ve Spor Bakanlığına bağlı gençlik merkezlerinden de yararlanılır.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Sosyal etkinlik çalışmalarının planlanmasında eğitim kurumu bölgesinde bulunan gençlere yönelik faaliyet gösteren kamu kurum ve kuruluşları, sivil toplum kuruluşları ile işbirliği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Sosyal etkinliklerle ilgili gelir-gider iş ve işlemleri okul aile birliği tarafından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6 –</w:t>
                  </w:r>
                  <w:r w:rsidRPr="004C16EB">
                    <w:rPr>
                      <w:rFonts w:ascii="Calibri" w:eastAsia="Times New Roman" w:hAnsi="Calibri" w:cs="Times New Roman"/>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Kurul, eğitim kurumunda bir eğitim ve öğretim yılı içerisinde yapılacak sosyal etkinliklerle ilgili iş ve işlemleri eylül ayından itibaren planlar ve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etkinlikler kurulunun etkinliklerle ilgili planlama ve kararları, eğitim kurumu müdürünün onayından sonra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Kurul, sosyal etkinliklerin verimli bir şekilde yürütülmesi için danışman öğretmenler, öğretmenler, öğrenciler, gönüllü veliler ve diğer ilgililerle iş birliği yapar.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Kurulun sekretarya işleri eğitim kurumu müdürlüğünce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Kurul tarafından yapılan iş ve işlemler, öğretmenler kurulu toplantılarında değerlendirilir.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Kurul, sosyal etkinlik başarı belgesi verilecek öğrencileri belirler, buna ilişkin listeyi eğitim kurumu müdürünün onayına sunar.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ÜÇÜNCÜ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etkinliklerin alanı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7 –</w:t>
                  </w:r>
                  <w:r w:rsidRPr="004C16EB">
                    <w:rPr>
                      <w:rFonts w:ascii="Calibri" w:eastAsia="Times New Roman" w:hAnsi="Calibri" w:cs="Times New Roman"/>
                      <w:lang w:eastAsia="tr-TR"/>
                    </w:rPr>
                    <w:t>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 konularında farkındalık oluşturmak amacıyla bilimsel, sosyal, kültürel, sanatsal ve sportif alanlarda sosyal etkinlik çalışmaları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4C16EB">
                    <w:rPr>
                      <w:rFonts w:ascii="Calibri" w:eastAsia="Times New Roman" w:hAnsi="Calibri" w:cs="Times New Roman"/>
                      <w:lang w:eastAsia="tr-TR"/>
                    </w:rPr>
                    <w:t>sempozyum</w:t>
                  </w:r>
                  <w:proofErr w:type="gramEnd"/>
                  <w:r w:rsidRPr="004C16EB">
                    <w:rPr>
                      <w:rFonts w:ascii="Calibri" w:eastAsia="Times New Roman" w:hAnsi="Calibri" w:cs="Times New Roman"/>
                      <w:lang w:eastAsia="tr-TR"/>
                    </w:rPr>
                    <w:t xml:space="preserve">, imza günü, fuar, sergi, kermes, gezi, proje hazırlama ve benzeri etkinlikler ile okul içi izcilik ve gençlik kampları </w:t>
                  </w:r>
                  <w:r w:rsidRPr="004C16EB">
                    <w:rPr>
                      <w:rFonts w:ascii="Calibri" w:eastAsia="Times New Roman" w:hAnsi="Calibri" w:cs="Times New Roman"/>
                      <w:lang w:eastAsia="tr-TR"/>
                    </w:rPr>
                    <w:lastRenderedPageBreak/>
                    <w:t>faaliyetleri ile sportif yarışmalar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Halk eğitim merkezleri, meslekî eğitim merkezleri ile açık öğretim okullarında bu etkinlikler isteğe bağlı olarak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 çalışmalarında görev alacaklardan sertifika sahibi olanlara öncelik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Bu Yönetmelikte ifade edilen e-Okul Sistemi Sosyal Etkinlik Modülünün kullanımına yönelik usul ve esaslar Bakanlıkça hazırlanan yönerge ve/veya kılavuz ile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kapsamında e-Okul Sistemi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ve çalışma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8 – </w:t>
                  </w:r>
                  <w:r w:rsidRPr="004C16EB">
                    <w:rPr>
                      <w:rFonts w:ascii="Calibri" w:eastAsia="Times New Roman" w:hAnsi="Calibri" w:cs="Times New Roman"/>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meslek alanlarının özellikleri,</w:t>
                  </w:r>
                  <w:r w:rsidRPr="004C16EB">
                    <w:rPr>
                      <w:rFonts w:ascii="Calibri" w:eastAsia="Times New Roman" w:hAnsi="Calibri" w:cs="Times New Roman"/>
                      <w:lang w:eastAsia="tr-TR"/>
                    </w:rPr>
                    <w:t> imkân ve şartları ölçüsünde öğretmenler kurulu kararıyla farklı öğrenci kulüpleri de kurulabilir.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Öğrenci kulübüyle ilgili sosyal etkinliklerin planlanması ve yürütülmesi, danışman öğretmenin gözetim ve sorumluluğunda öğrencilerce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Öğrenci kulüplerinin amaçları, çalışma esasları ve tanıtımına yönelik açıklamalar, eğitim kurumu yönetimi, sosyal etkinlikler kurulu, danışman öğretmenler ve sınıf/şube rehber öğretmenlerince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Her öğrencinin en az bir kulübe üye olması zorunludur.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Öğrencinin seçtiği kulüp, yaptığı çalışmalar ve belgeleri,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Kulüp çalışmalarıyla ilgili giderler; okul-aile birliği, gönüllü kişi, kurum veya kuruluşlarca yapılan aynî ve nakdî bağış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Öğrencinin kulüp üyeliği, kulübe seçildiği öğretim yılıyla sınırlıdır.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Toplum hizmeti çalışmaları ve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9 – </w:t>
                  </w:r>
                  <w:r w:rsidRPr="004C16EB">
                    <w:rPr>
                      <w:rFonts w:ascii="Calibri" w:eastAsia="Times New Roman" w:hAnsi="Calibri" w:cs="Times New Roman"/>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 kurum ve kuruluşların katılımıyla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Toplum hizmeti çalışmalarına katılan öğrenciler ve aldıkları belgeler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Toplum hizmeti çalışmalarıyla ilgili giderler, okul-aile birliği gelirleri ile yapılan diğer aynî ve nakdî bağışlar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Yapılacak toplum hizmeti çalışmaları, ilgili paydaşların görüşleri alınarak Sosyal Etkinlikler Kurulu tarafından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Geziler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10 – </w:t>
                  </w:r>
                  <w:r w:rsidRPr="004C16EB">
                    <w:rPr>
                      <w:rFonts w:ascii="Calibri" w:eastAsia="Times New Roman" w:hAnsi="Calibri" w:cs="Times New Roman"/>
                      <w:lang w:eastAsia="tr-TR"/>
                    </w:rPr>
                    <w:t xml:space="preserve">(1) Öğrencilerin bilgi, görgü ve yeteneklerini geliştirmek, toplumsal kurallara uyumlarını ve bir arada yaşama kültürü edinmelerini sağlamak, sosyal iletişim becerilerini geliştirmek, tarihi ve kültürel gezilerle öğrencilerde </w:t>
                  </w:r>
                  <w:r w:rsidRPr="004C16EB">
                    <w:rPr>
                      <w:rFonts w:ascii="Calibri" w:eastAsia="Times New Roman" w:hAnsi="Calibri" w:cs="Times New Roman"/>
                      <w:lang w:eastAsia="tr-TR"/>
                    </w:rPr>
                    <w:lastRenderedPageBreak/>
                    <w:t>medeniyet tasavvuru oluşturmak amacıyla yurt içi ve yurt dışı geziler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Gezilerde aşağıdaki hususlara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b)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cümle:RG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kurumu yönetimince şehit ve gazi çocuğu olan öğrenciler ile ekonomik durumları yetersiz görülen öğrencilerin gezi giderleri, okul-aile birliği ile gönüllü veli, kurum ve kuruluşlarca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Öğretim programları kapsamında yapılacak gezilerin ders saatleri içinde yapılmasına, diğer gezilerin ise dersleri aksatmayacak şekilde hafta sonu veya resmî tatil günlerinde düzenlenmesine özen gösterilir.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Gezilerin belirlenen süreleri aşması durumunda, eğitim kurumu yönetiminin bilgisi dâhilinde gerekli önlemler alınarak gezilerden dolayı yapılamayan dersler takip eden derslerde yoğunlaştırılmış olarak tamamlanır.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İl içi ve il dışı gezilerde öğrencilerin kaza sigorta işlemleri, geziye gidilecek araçların seçilmesi ve diğer konularda, Okul Gezileri Çerçeve Sözleşmesinde (EK-6) belirtilen hükümlere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e)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yönetimi; gezinin sağlıklı ve güvenli bir şekilde yapılmasına ilişkin her türlü tedbiri alır, gezi dosyasında yer alan tüm belgeleri inceler ve uygunluğunu değerlendirir.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b/>
                      <w:bCs/>
                      <w:color w:val="000000"/>
                      <w:lang w:eastAsia="tr-TR"/>
                    </w:rPr>
                    <w:t xml:space="preserve">(Ek </w:t>
                  </w:r>
                  <w:proofErr w:type="gramStart"/>
                  <w:r w:rsidRPr="004C16EB">
                    <w:rPr>
                      <w:rFonts w:ascii="Calibri" w:eastAsia="Times New Roman" w:hAnsi="Calibri" w:cs="Times New Roman"/>
                      <w:b/>
                      <w:bCs/>
                      <w:color w:val="000000"/>
                      <w:lang w:eastAsia="tr-TR"/>
                    </w:rPr>
                    <w:t>cümle:RG</w:t>
                  </w:r>
                  <w:proofErr w:type="gramEnd"/>
                  <w:r w:rsidRPr="004C16EB">
                    <w:rPr>
                      <w:rFonts w:ascii="Calibri" w:eastAsia="Times New Roman" w:hAnsi="Calibri" w:cs="Times New Roman"/>
                      <w:b/>
                      <w:bCs/>
                      <w:color w:val="000000"/>
                      <w:lang w:eastAsia="tr-TR"/>
                    </w:rPr>
                    <w:t>-12/9/2019-30886)</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lang w:eastAsia="tr-TR"/>
                    </w:rPr>
                    <w:t>Ancak gezi yapılacak araçların karayolu taşımacılık mevzuatına uygun olması gerekir.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Yarışmalar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b/>
                      <w:bCs/>
                      <w:lang w:eastAsia="tr-TR"/>
                    </w:rPr>
                    <w:t>MADDE 11 –</w:t>
                  </w:r>
                  <w:r w:rsidRPr="004C16EB">
                    <w:rPr>
                      <w:rFonts w:ascii="Calibri" w:eastAsia="Times New Roman" w:hAnsi="Calibri" w:cs="Times New Roman"/>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4C16EB">
                    <w:rPr>
                      <w:rFonts w:ascii="Calibri" w:eastAsia="Times New Roman" w:hAnsi="Calibri" w:cs="Times New Roman"/>
                      <w:lang w:eastAsia="tr-TR"/>
                    </w:rPr>
                    <w:t>Buna ilişkin belgeler ilgili dosyada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Yayınlar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12 –</w:t>
                  </w:r>
                  <w:r w:rsidRPr="004C16EB">
                    <w:rPr>
                      <w:rFonts w:ascii="Calibri" w:eastAsia="Times New Roman" w:hAnsi="Calibri" w:cs="Times New Roman"/>
                      <w:lang w:eastAsia="tr-TR"/>
                    </w:rPr>
                    <w:t> (1)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xml:space="preserve">) Eğitim kurumlarında, Türk millî eğitiminin genel ve özel amaçlarına uygun, sosyal etkinlik çalışmalarını tanıtıcı nitelikte, belirli gün ve haftalara yönelik faaliyetlere katılımda bulunmuş olan </w:t>
                  </w:r>
                  <w:r w:rsidRPr="004C16EB">
                    <w:rPr>
                      <w:rFonts w:ascii="Calibri" w:eastAsia="Times New Roman" w:hAnsi="Calibri" w:cs="Times New Roman"/>
                      <w:lang w:eastAsia="tr-TR"/>
                    </w:rPr>
                    <w:lastRenderedPageBreak/>
                    <w:t>öğrencilerin performanslarını veya ürünlerini içeren duyuru, dergi, gazete, duvar gazetesi, broşür, afiş, yıllık ve benzeri yayınlar çıkarılabilir ve kurumun resmî internet sayfasında yayımlanabilir.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amaçla;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Eser İnceleme ve Seçme Kurulu, birinci fıkrada sözü edilen yayınlardan, bu yayınların içeriğinden, incelenmesi ve seçiminden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kurumlarında bir ders yılında çıkarılacak yayınlar ve bunların sayısı sosyal etkinlikler kurulunca belirlenir ve eğitim kurumu müdürünün onayına sunulur.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Yayınlar için gerekli kaynak, okul-aile birliği veya diğer gönüllü kişi, kurum ve kuruluşlarca yapılan aynî ve nakdî bağış yoluyla sağlanabilir.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Birinci fıkrada sözü edilen süreli yayınlar, 9/6/2004 tarihli ve 5187 sayılı Basın Kanunu ve ilgili mevzuata uygun olarak çıkarılır. Eğitim kurumu adına yayının sahibi, eğitim kurumu müdürüdür.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DÖRDÜNCÜ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 ile İlgili İzin ve Görevler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Katılım ve düzenlemeye ilişkin izin işlemleri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13 –</w:t>
                  </w:r>
                  <w:r w:rsidRPr="004C16EB">
                    <w:rPr>
                      <w:rFonts w:ascii="Calibri" w:eastAsia="Times New Roman" w:hAnsi="Calibri" w:cs="Times New Roman"/>
                      <w:lang w:eastAsia="tr-TR"/>
                    </w:rPr>
                    <w:t> (1) Eğitim kurumu/ ilçe /il sınırları içinde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eğitim kurumunca</w:t>
                  </w:r>
                  <w:r w:rsidRPr="004C16EB">
                    <w:rPr>
                      <w:rFonts w:ascii="Calibri" w:eastAsia="Times New Roman" w:hAnsi="Calibri" w:cs="Times New Roman"/>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u w:val="single"/>
                      <w:lang w:eastAsia="tr-TR"/>
                    </w:rPr>
                    <w:t>ilgili mevzuatına göre</w:t>
                  </w:r>
                  <w:r w:rsidRPr="004C16EB">
                    <w:rPr>
                      <w:rFonts w:ascii="Calibri" w:eastAsia="Times New Roman" w:hAnsi="Calibri" w:cs="Times New Roman"/>
                      <w:lang w:eastAsia="tr-TR"/>
                    </w:rPr>
                    <w:t> izin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Müdürün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14 –</w:t>
                  </w:r>
                  <w:r w:rsidRPr="004C16EB">
                    <w:rPr>
                      <w:rFonts w:ascii="Calibri" w:eastAsia="Times New Roman" w:hAnsi="Calibri" w:cs="Times New Roman"/>
                      <w:lang w:eastAsia="tr-TR"/>
                    </w:rPr>
                    <w:t> (1) Müdür, sosyal etkinliklerin ilgili mevzuata uygun olarak eylül ayında planlanmasından ve verimli olarak eğitim ve öğretim yılı içinde yürütülmesinden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kapsamda müdür;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Gerçekleştirilecek sosyal etkinlikler dosyasında yer alan tüm belgeleri inceler, uygunluğunu değerlendirir ve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Sosyal etkinlikler kapsamında yapılan çalışmalara ilişkin düzenlenen Sosyal Etkinlik Katılım Belgesi, Sosyal Etkinlik Başarı Belgesi ve Sosyal Etkinlik Teşekkür Belgelerini imzalar.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Öğrenci kulübü ve toplum hizmeti ile ilgili örnek etkinlik çalışmalarını; eğitim kurumu panosu, gazete ve dergilerinde, gerektiğinde ilgili birimlerin resmî internet sayfalarında yayımlatabilir.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Sınıf veya şube rehber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15 –</w:t>
                  </w:r>
                  <w:r w:rsidRPr="004C16EB">
                    <w:rPr>
                      <w:rFonts w:ascii="Calibri" w:eastAsia="Times New Roman" w:hAnsi="Calibri" w:cs="Times New Roman"/>
                      <w:lang w:eastAsia="tr-TR"/>
                    </w:rPr>
                    <w:t> (1) Sınıf veya şube rehber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Öğretmenler kurulunca belirlenen öğrenci kulüplerinin amaçları ve çalışmaları hakkında öğrencileri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Öğrenci kulüplerine katılacak öğrencileri ilgi ve isteklerine göre belirlemek.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Belirlenen öğrencileri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Öğrencilerin okul dışı etkinlikleri, kendi sınıf/şubesi ile birlikte yürüttüğü toplum hizmeti çalışmaları ve buna ilişkin belgeleri e-Okul Sistemi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Danışman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16 – </w:t>
                  </w:r>
                  <w:r w:rsidRPr="004C16EB">
                    <w:rPr>
                      <w:rFonts w:ascii="Calibri" w:eastAsia="Times New Roman" w:hAnsi="Calibri" w:cs="Times New Roman"/>
                      <w:lang w:eastAsia="tr-TR"/>
                    </w:rPr>
                    <w:t>(1) Danışman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Kulüp ve toplum hizmetine katılan öğrenci listesini, sosyal etkinlikler kuruluna vermek.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Kulübe seçilen öğrencileri kulübün amaçları ve çalışmaları hakkında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Çalışmalarda öğrencileri yenilikçi ve özgün fikirler üretmeye teşvik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Çalışmaların yürütülmesini, gözetim ve rehberliğini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d)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dışından sağlanacak desteklerle ilgili olarak sosyal etkinlikler kurulunu bilgilendirmek ve buna ilişkin </w:t>
                  </w:r>
                  <w:r w:rsidRPr="004C16EB">
                    <w:rPr>
                      <w:rFonts w:ascii="Calibri" w:eastAsia="Times New Roman" w:hAnsi="Calibri" w:cs="Times New Roman"/>
                      <w:lang w:eastAsia="tr-TR"/>
                    </w:rPr>
                    <w:lastRenderedPageBreak/>
                    <w:t>bilgi ve belgeleri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Öğrenci sosyal etkinliklerini ve buna ilişkin öğrencilere verilen belgeleri,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Kulüp çalışmaları ile ilgili yazışmaları koordine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ğ) Öğrencilerin sosyal etkinliklere katılmaları için Veli İzin Belgesinin alınmasını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temsilcisinin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17 –</w:t>
                  </w:r>
                  <w:r w:rsidRPr="004C16EB">
                    <w:rPr>
                      <w:rFonts w:ascii="Calibri" w:eastAsia="Times New Roman" w:hAnsi="Calibri" w:cs="Times New Roman"/>
                      <w:lang w:eastAsia="tr-TR"/>
                    </w:rPr>
                    <w:t> (1) Öğrenci kulübü temsilcisi;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Yapılacak faaliyetlerle ilgili görev dağılımını danışman öğretmene bildirir.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Kulüp çalışmalarıyla ilgili yazışmaları yapar, karar defterini tutar ve kulüp kapsamında yapılan çalışmalarla ilgili dokümanların dosyalanmasını sağlar.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c) 12 </w:t>
                  </w:r>
                  <w:proofErr w:type="spellStart"/>
                  <w:r w:rsidRPr="004C16EB">
                    <w:rPr>
                      <w:rFonts w:ascii="Calibri" w:eastAsia="Times New Roman" w:hAnsi="Calibri" w:cs="Times New Roman"/>
                      <w:lang w:eastAsia="tr-TR"/>
                    </w:rPr>
                    <w:t>nci</w:t>
                  </w:r>
                  <w:proofErr w:type="spellEnd"/>
                  <w:r w:rsidRPr="004C16EB">
                    <w:rPr>
                      <w:rFonts w:ascii="Calibri" w:eastAsia="Times New Roman" w:hAnsi="Calibri" w:cs="Times New Roman"/>
                      <w:lang w:eastAsia="tr-TR"/>
                    </w:rPr>
                    <w:t xml:space="preserve"> maddenin birinci fıkrası kapsamında kulübüyle ilgili yayınlar çıkarılması durumunda Eser İnceleme ve Seçme Kurulu üyeliğini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Özel eğitim okulları ile anaokullarında birinci fıkrada sayılan görevler, danışman öğretmenlerce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İlkokullarda bu görevler, danışman öğretmen rehberliğinde yapılır.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BEŞİNCİ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 ile 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18 –</w:t>
                  </w:r>
                  <w:r w:rsidRPr="004C16EB">
                    <w:rPr>
                      <w:rFonts w:ascii="Calibri" w:eastAsia="Times New Roman" w:hAnsi="Calibri" w:cs="Times New Roman"/>
                      <w:lang w:eastAsia="tr-TR"/>
                    </w:rPr>
                    <w:t> (1) Belirli gün ve haftaların anma ya da kutlanmasında aşağıdaki hususlar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Okullarda kutlanacak ulusal ve resmî bayramlar ile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29 Ekim Cumhuriyet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23 Nisan Ulusal Egemenlik ve Çocuk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19 Mayıs Atatürk'ü Anma ve Gençlik ve Spor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30 Ağustos Zafer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19 – </w:t>
                  </w:r>
                  <w:r w:rsidRPr="004C16EB">
                    <w:rPr>
                      <w:rFonts w:ascii="Calibri" w:eastAsia="Times New Roman" w:hAnsi="Calibri"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Bayrak töreni; hafta başında ve sonunda, resmî tatil, millî bayram, genel tatil başlangıcında ve sonunda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Eğitim kurumunda bayrak direği bulunur. Bayrak, törenden önce indirilir ve törenle göndere çekilir.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Bayrak töreninde yapılan konuşmalar, İstiklâl Marşı’nın söylenmesinden önce bitirilir.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İstiklâl Marşı’nın ilk iki kıtası, törene katılanlar tarafından birlikte, bestesine uygun olarak yüksek sesle söylenir.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Törenlerin yürütülmesinden eğitim kurumu müdürü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Bayrak törenlerinin yürütülmesine ilişkin usul ve esaslar Bakanlıkça hazırlanan yönerge ile belirlenir.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ALTINCI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lastRenderedPageBreak/>
                    <w:t>Çeşitli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Tutulacak defter ve dosyalar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20 – </w:t>
                  </w:r>
                  <w:r w:rsidRPr="004C16EB">
                    <w:rPr>
                      <w:rFonts w:ascii="Calibri" w:eastAsia="Times New Roman" w:hAnsi="Calibri" w:cs="Times New Roman"/>
                      <w:lang w:eastAsia="tr-TR"/>
                    </w:rPr>
                    <w:t>(1) Sosyal etkinlikler dosyası içerisinde; toplum hizmeti çalışmaları, ilgili kararlar ve tutanaklar ile birlikte öğrenci kulüplerinin toplantı karar defteri, evrak dosyası ve toplantı tutanakları bulunur.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Yönetmelikte yer almayan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21 – </w:t>
                  </w:r>
                  <w:r w:rsidRPr="004C16EB">
                    <w:rPr>
                      <w:rFonts w:ascii="Calibri" w:eastAsia="Times New Roman" w:hAnsi="Calibri" w:cs="Times New Roman"/>
                      <w:lang w:eastAsia="tr-TR"/>
                    </w:rPr>
                    <w:t>(1) Bu Yönetmelikte yer almayan hususlarda Bakanlığın diğer ilgili mevzuat hükümlerine uyulur.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YEDİNCİ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Yürürlükten kaldırılan yönetmelikler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22 – </w:t>
                  </w:r>
                  <w:r w:rsidRPr="004C16EB">
                    <w:rPr>
                      <w:rFonts w:ascii="Calibri" w:eastAsia="Times New Roman" w:hAnsi="Calibri" w:cs="Times New Roman"/>
                      <w:lang w:eastAsia="tr-TR"/>
                    </w:rPr>
                    <w:t>(1) Aşağıdaki yönetmelikler yürürlükten kaldırılmıştır: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13/1/2005 tarihli ve 25699 sayılı Resmî Gazete’de yayımlanan Millî Eğitim Bakanlığı İlköğretim ve Orta Öğretim Kurumları Sosyal Etkinlikler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26/12/1995 tarihli ve 22505 sayılı Resmî Gazete’de yayımlanan Millî Eğitim Bakanlığı Sosyal ve Kültürel Yarışmalar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23 – </w:t>
                  </w:r>
                  <w:r w:rsidRPr="004C16EB">
                    <w:rPr>
                      <w:rFonts w:ascii="Calibri" w:eastAsia="Times New Roman" w:hAnsi="Calibri" w:cs="Times New Roman"/>
                      <w:lang w:eastAsia="tr-TR"/>
                    </w:rPr>
                    <w:t>(1) Bu Yönetmelik yayımı tarihinde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Yürütme</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24 – </w:t>
                  </w:r>
                  <w:r w:rsidRPr="004C16EB">
                    <w:rPr>
                      <w:rFonts w:ascii="Calibri" w:eastAsia="Times New Roman" w:hAnsi="Calibri" w:cs="Times New Roman"/>
                      <w:lang w:eastAsia="tr-TR"/>
                    </w:rPr>
                    <w:t>(1) Bu Yönetmelik hükümlerini Millî Eğitim Bakanı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w:t>
                  </w:r>
                </w:p>
                <w:p w:rsidR="004C16EB" w:rsidRPr="004C16EB" w:rsidRDefault="0057655D" w:rsidP="004C16EB">
                  <w:pPr>
                    <w:spacing w:after="0" w:line="240" w:lineRule="auto"/>
                    <w:ind w:firstLine="567"/>
                    <w:jc w:val="both"/>
                    <w:rPr>
                      <w:rFonts w:ascii="Calibri" w:eastAsia="Times New Roman" w:hAnsi="Calibri" w:cs="Times New Roman"/>
                      <w:lang w:eastAsia="tr-TR"/>
                    </w:rPr>
                  </w:pPr>
                  <w:hyperlink r:id="rId4" w:history="1">
                    <w:r w:rsidR="004C16EB" w:rsidRPr="004C16EB">
                      <w:rPr>
                        <w:rFonts w:ascii="Lucida Sans Unicode" w:eastAsia="Times New Roman" w:hAnsi="Lucida Sans Unicode" w:cs="Lucida Sans Unicode"/>
                        <w:color w:val="FF0000"/>
                        <w:sz w:val="15"/>
                        <w:lang w:eastAsia="tr-TR"/>
                      </w:rPr>
                      <w:t>Ekleri için tıklayınız</w:t>
                    </w:r>
                  </w:hyperlink>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color w:val="FF0000"/>
                      <w:lang w:eastAsia="tr-TR"/>
                    </w:rPr>
                    <w:t> </w:t>
                  </w:r>
                </w:p>
              </w:tc>
            </w:tr>
          </w:tbl>
          <w:p w:rsidR="004C16EB" w:rsidRPr="004C16EB" w:rsidRDefault="004C16EB" w:rsidP="004C16EB">
            <w:pPr>
              <w:spacing w:after="0" w:line="240" w:lineRule="auto"/>
              <w:jc w:val="center"/>
              <w:rPr>
                <w:rFonts w:ascii="Times New Roman" w:eastAsia="Times New Roman" w:hAnsi="Times New Roman" w:cs="Times New Roman"/>
                <w:sz w:val="24"/>
                <w:szCs w:val="24"/>
                <w:lang w:eastAsia="tr-TR"/>
              </w:rPr>
            </w:pPr>
          </w:p>
        </w:tc>
      </w:tr>
    </w:tbl>
    <w:p w:rsidR="004C16EB" w:rsidRPr="004C16EB" w:rsidRDefault="004C16EB" w:rsidP="004C16EB">
      <w:pPr>
        <w:shd w:val="clear" w:color="auto" w:fill="FFFFFF"/>
        <w:spacing w:after="0" w:line="240" w:lineRule="auto"/>
        <w:ind w:firstLine="567"/>
        <w:jc w:val="both"/>
        <w:rPr>
          <w:rFonts w:ascii="Calibri" w:eastAsia="Times New Roman" w:hAnsi="Calibri" w:cs="Times New Roman"/>
          <w:color w:val="1C283D"/>
          <w:lang w:eastAsia="tr-TR"/>
        </w:rPr>
      </w:pPr>
      <w:r w:rsidRPr="004C16EB">
        <w:rPr>
          <w:rFonts w:ascii="Calibri" w:eastAsia="Times New Roman" w:hAnsi="Calibri" w:cs="Times New Roman"/>
          <w:color w:val="1C283D"/>
          <w:lang w:eastAsia="tr-TR"/>
        </w:rPr>
        <w:lastRenderedPageBreak/>
        <w:t> </w:t>
      </w:r>
    </w:p>
    <w:tbl>
      <w:tblPr>
        <w:tblW w:w="0" w:type="auto"/>
        <w:jc w:val="center"/>
        <w:tblCellMar>
          <w:left w:w="0" w:type="dxa"/>
          <w:right w:w="0" w:type="dxa"/>
        </w:tblCellMar>
        <w:tblLook w:val="04A0"/>
      </w:tblPr>
      <w:tblGrid>
        <w:gridCol w:w="696"/>
        <w:gridCol w:w="3600"/>
        <w:gridCol w:w="3600"/>
      </w:tblGrid>
      <w:tr w:rsidR="004C16EB" w:rsidRPr="004C16EB" w:rsidTr="004C16E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ind w:firstLine="567"/>
              <w:rPr>
                <w:rFonts w:ascii="Calibri" w:eastAsia="Times New Roman" w:hAnsi="Calibri" w:cs="Times New Roman"/>
                <w:lang w:eastAsia="tr-TR"/>
              </w:rPr>
            </w:pPr>
            <w:r w:rsidRPr="004C16E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Yönetmeliğin Yayımlandığı Resmî Gazete’nin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8/6/2017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30090</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Yönetmelikte Değişiklik Yapan Yönetmeliklerin Yayımlandığı Resmî Gazetelerin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30522</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 12/9/2019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30886 </w:t>
            </w:r>
          </w:p>
        </w:tc>
      </w:tr>
    </w:tbl>
    <w:p w:rsidR="00387F70" w:rsidRDefault="00387F70"/>
    <w:p w:rsidR="004C16EB" w:rsidRDefault="004C16EB"/>
    <w:p w:rsidR="004C16EB" w:rsidRDefault="004C16EB"/>
    <w:p w:rsidR="004C16EB" w:rsidRDefault="004C16EB"/>
    <w:p w:rsidR="004C16EB" w:rsidRDefault="004C16EB"/>
    <w:p w:rsidR="004C16EB" w:rsidRDefault="004C16EB"/>
    <w:p w:rsidR="004C16EB" w:rsidRDefault="00761134" w:rsidP="00761134">
      <w:pPr>
        <w:tabs>
          <w:tab w:val="left" w:pos="3870"/>
        </w:tabs>
      </w:pPr>
      <w:r>
        <w:tab/>
      </w:r>
      <w:hyperlink r:id="rId5" w:history="1">
        <w:r>
          <w:rPr>
            <w:rStyle w:val="Kpr"/>
            <w:rFonts w:ascii="Comic Sans MS" w:hAnsi="Comic Sans MS"/>
          </w:rPr>
          <w:t>www.egitimhane.com</w:t>
        </w:r>
      </w:hyperlink>
      <w:bookmarkStart w:id="0" w:name="_GoBack"/>
      <w:bookmarkEnd w:id="0"/>
    </w:p>
    <w:p w:rsidR="004C16EB" w:rsidRDefault="004C16EB"/>
    <w:p w:rsidR="004C16EB" w:rsidRDefault="004C16EB"/>
    <w:p w:rsidR="004C16EB" w:rsidRDefault="004C16EB"/>
    <w:sectPr w:rsidR="004C16EB" w:rsidSect="00387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6EB"/>
    <w:rsid w:val="00050717"/>
    <w:rsid w:val="00387F70"/>
    <w:rsid w:val="004C16EB"/>
    <w:rsid w:val="0057655D"/>
    <w:rsid w:val="00761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16EB"/>
    <w:rPr>
      <w:color w:val="0000FF"/>
      <w:u w:val="single"/>
    </w:rPr>
  </w:style>
</w:styles>
</file>

<file path=word/webSettings.xml><?xml version="1.0" encoding="utf-8"?>
<w:webSettings xmlns:r="http://schemas.openxmlformats.org/officeDocument/2006/relationships" xmlns:w="http://schemas.openxmlformats.org/wordprocessingml/2006/main">
  <w:divs>
    <w:div w:id="440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hyperlink" Target="http://www.mevzuat.gov.tr/MevzuatMetin/yonetmelik/7.5.2363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4282</Words>
  <Characters>24412</Characters>
  <Application>Microsoft Office Word</Application>
  <DocSecurity>0</DocSecurity>
  <Lines>203</Lines>
  <Paragraphs>57</Paragraphs>
  <ScaleCrop>false</ScaleCrop>
  <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Windows Kullanıcısı</cp:lastModifiedBy>
  <cp:revision>2</cp:revision>
  <dcterms:created xsi:type="dcterms:W3CDTF">2020-08-24T18:56:00Z</dcterms:created>
  <dcterms:modified xsi:type="dcterms:W3CDTF">2020-08-24T18:56:00Z</dcterms:modified>
</cp:coreProperties>
</file>